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4FB79B84" w14:textId="77777777" w:rsidR="003C08C7" w:rsidRPr="003C08C7" w:rsidRDefault="00D04DE6" w:rsidP="00B76506">
      <w:pPr>
        <w:spacing w:line="259" w:lineRule="auto"/>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3C08C7" w:rsidRPr="003C08C7">
        <w:rPr>
          <w:rFonts w:asciiTheme="minorHAnsi" w:hAnsiTheme="minorHAnsi" w:cstheme="minorHAnsi"/>
        </w:rPr>
        <w:t xml:space="preserve">Given normal attrition rates, how many FTEs would we/will we lose in the 1st and 2nd quarters due to the hiring freeze? </w:t>
      </w:r>
    </w:p>
    <w:p w14:paraId="30AE53EF" w14:textId="40C13914" w:rsidR="00353AE8" w:rsidRPr="00A83BFB" w:rsidRDefault="00353AE8" w:rsidP="00B76506">
      <w:pPr>
        <w:spacing w:line="259" w:lineRule="auto"/>
        <w:rPr>
          <w:rFonts w:asciiTheme="minorHAnsi" w:hAnsiTheme="minorHAnsi" w:cstheme="minorHAnsi"/>
          <w:b/>
          <w:bCs/>
          <w:i/>
          <w:iCs/>
        </w:rPr>
      </w:pPr>
    </w:p>
    <w:p w14:paraId="48AEE367" w14:textId="2B34DFE1" w:rsidR="00C519A4" w:rsidRDefault="00D04DE6" w:rsidP="00C519A4">
      <w:pPr>
        <w:spacing w:before="120" w:after="160" w:line="259" w:lineRule="auto"/>
        <w:contextualSpacing/>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C519A4">
        <w:rPr>
          <w:rFonts w:asciiTheme="minorHAnsi" w:hAnsiTheme="minorHAnsi" w:cstheme="minorHAnsi"/>
          <w:i/>
        </w:rPr>
        <w:t xml:space="preserve"> </w:t>
      </w:r>
      <w:r w:rsidR="00353AE8" w:rsidRPr="00C94255">
        <w:rPr>
          <w:rFonts w:asciiTheme="minorHAnsi" w:hAnsiTheme="minorHAnsi" w:cstheme="minorHAnsi"/>
        </w:rPr>
        <w:t>Amy Oland, Business Management Director</w:t>
      </w:r>
    </w:p>
    <w:p w14:paraId="2C5239B3" w14:textId="1E689DC4" w:rsidR="003C08C7" w:rsidRDefault="003C08C7" w:rsidP="00C519A4">
      <w:pPr>
        <w:spacing w:before="120" w:after="160" w:line="259" w:lineRule="auto"/>
        <w:contextualSpacing/>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Matt Brinkley, Assistant Director of Business Management</w:t>
      </w:r>
    </w:p>
    <w:p w14:paraId="6E83843B" w14:textId="07812068" w:rsidR="00294979" w:rsidRPr="00294979" w:rsidRDefault="001A2D50" w:rsidP="00B76506">
      <w:pPr>
        <w:spacing w:line="259" w:lineRule="auto"/>
        <w:rPr>
          <w:rFonts w:asciiTheme="minorHAnsi" w:hAnsiTheme="minorHAnsi" w:cstheme="minorHAnsi"/>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3C08C7" w:rsidRPr="003C08C7">
        <w:rPr>
          <w:rFonts w:asciiTheme="minorHAnsi" w:hAnsiTheme="minorHAnsi" w:cstheme="minorHAnsi"/>
        </w:rPr>
        <w:t>It’s important to mention that the FY 20</w:t>
      </w:r>
      <w:bookmarkStart w:id="0" w:name="_GoBack"/>
      <w:bookmarkEnd w:id="0"/>
      <w:r w:rsidR="003C08C7" w:rsidRPr="003C08C7">
        <w:rPr>
          <w:rFonts w:asciiTheme="minorHAnsi" w:hAnsiTheme="minorHAnsi" w:cstheme="minorHAnsi"/>
        </w:rPr>
        <w:t>21 Manager’s Recommended Budget does not eliminate any positions, but rather puts a freeze on the filling of vacant positions for the first quarter and the ability to extend that freeze if warranted.  We are basing the savings projections off the 60 existing vacant positions in the General Fund that would generate $1,180,265 in savings for the first quarter.  If the hiring freeze is carried into the 2nd quarter FY 2021, we assume a similar amount of savings which could be higher depending on the amount of attrition we see between now and then. </w:t>
      </w:r>
    </w:p>
    <w:p w14:paraId="03C942E8" w14:textId="1E699F07" w:rsidR="006F7336" w:rsidRPr="00294979" w:rsidRDefault="006F7336" w:rsidP="00C519A4">
      <w:pPr>
        <w:rPr>
          <w:rFonts w:asciiTheme="minorHAnsi" w:hAnsiTheme="minorHAnsi" w:cstheme="minorHAnsi"/>
        </w:rPr>
      </w:pPr>
    </w:p>
    <w:sectPr w:rsidR="006F7336" w:rsidRPr="002949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C381" w14:textId="77777777" w:rsidR="00A0669E" w:rsidRDefault="00A0669E" w:rsidP="00F467CE">
      <w:r>
        <w:separator/>
      </w:r>
    </w:p>
  </w:endnote>
  <w:endnote w:type="continuationSeparator" w:id="0">
    <w:p w14:paraId="7098FF62" w14:textId="77777777" w:rsidR="00A0669E" w:rsidRDefault="00A0669E"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EE5D6" w14:textId="77777777" w:rsidR="00A0669E" w:rsidRDefault="00A0669E" w:rsidP="00F467CE">
      <w:r>
        <w:separator/>
      </w:r>
    </w:p>
  </w:footnote>
  <w:footnote w:type="continuationSeparator" w:id="0">
    <w:p w14:paraId="0AB5268F" w14:textId="77777777" w:rsidR="00A0669E" w:rsidRDefault="00A0669E"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73C7E4D6" w:rsidR="00D04DE6" w:rsidRDefault="003C08C7" w:rsidP="003018F3">
    <w:pPr>
      <w:jc w:val="center"/>
      <w:rPr>
        <w:rFonts w:asciiTheme="minorHAnsi" w:hAnsiTheme="minorHAnsi" w:cstheme="minorHAnsi"/>
        <w:b/>
        <w:iCs/>
        <w:sz w:val="32"/>
      </w:rPr>
    </w:pPr>
    <w:r>
      <w:rPr>
        <w:rFonts w:asciiTheme="minorHAnsi" w:hAnsiTheme="minorHAnsi" w:cstheme="minorHAnsi"/>
        <w:b/>
        <w:iCs/>
        <w:sz w:val="32"/>
      </w:rPr>
      <w:t>Question #12</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B58"/>
    <w:rsid w:val="001E4C02"/>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94979"/>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8C7"/>
    <w:rsid w:val="003C0BD1"/>
    <w:rsid w:val="003C127C"/>
    <w:rsid w:val="003C3053"/>
    <w:rsid w:val="003C6536"/>
    <w:rsid w:val="003C688E"/>
    <w:rsid w:val="003D12AA"/>
    <w:rsid w:val="003D1319"/>
    <w:rsid w:val="003F11B1"/>
    <w:rsid w:val="003F59C1"/>
    <w:rsid w:val="00411185"/>
    <w:rsid w:val="00416D88"/>
    <w:rsid w:val="004202F2"/>
    <w:rsid w:val="0042587F"/>
    <w:rsid w:val="0042763F"/>
    <w:rsid w:val="00434210"/>
    <w:rsid w:val="00453286"/>
    <w:rsid w:val="00455D19"/>
    <w:rsid w:val="004612BA"/>
    <w:rsid w:val="00476A27"/>
    <w:rsid w:val="004861A9"/>
    <w:rsid w:val="00487098"/>
    <w:rsid w:val="004A24DE"/>
    <w:rsid w:val="004A66E4"/>
    <w:rsid w:val="004B61FA"/>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0669E"/>
    <w:rsid w:val="00A1067E"/>
    <w:rsid w:val="00A11FFF"/>
    <w:rsid w:val="00A154D1"/>
    <w:rsid w:val="00A167B1"/>
    <w:rsid w:val="00A21C61"/>
    <w:rsid w:val="00A33306"/>
    <w:rsid w:val="00A66B75"/>
    <w:rsid w:val="00A723C1"/>
    <w:rsid w:val="00A73083"/>
    <w:rsid w:val="00A75B6F"/>
    <w:rsid w:val="00A76EF2"/>
    <w:rsid w:val="00A81507"/>
    <w:rsid w:val="00A83BFB"/>
    <w:rsid w:val="00A8493C"/>
    <w:rsid w:val="00A869B2"/>
    <w:rsid w:val="00A94373"/>
    <w:rsid w:val="00AA7931"/>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6506"/>
    <w:rsid w:val="00B77050"/>
    <w:rsid w:val="00B81065"/>
    <w:rsid w:val="00B92C70"/>
    <w:rsid w:val="00B93B22"/>
    <w:rsid w:val="00B96115"/>
    <w:rsid w:val="00B965BE"/>
    <w:rsid w:val="00B96667"/>
    <w:rsid w:val="00BA19DF"/>
    <w:rsid w:val="00BB2428"/>
    <w:rsid w:val="00BB7D2C"/>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B4B44"/>
    <w:rsid w:val="00FC3862"/>
    <w:rsid w:val="00FD123D"/>
    <w:rsid w:val="00FD1759"/>
    <w:rsid w:val="00FE20DA"/>
    <w:rsid w:val="00FE7676"/>
    <w:rsid w:val="00FF3490"/>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12A8-48A9-4CB1-AD50-70594385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4</cp:revision>
  <cp:lastPrinted>2018-09-05T15:40:00Z</cp:lastPrinted>
  <dcterms:created xsi:type="dcterms:W3CDTF">2020-06-03T23:45:00Z</dcterms:created>
  <dcterms:modified xsi:type="dcterms:W3CDTF">2020-06-03T23:46:00Z</dcterms:modified>
</cp:coreProperties>
</file>