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C8" w:rsidRPr="00A626FB" w:rsidRDefault="00427650" w:rsidP="00427650">
      <w:pPr>
        <w:jc w:val="center"/>
        <w:rPr>
          <w:i/>
        </w:rPr>
      </w:pPr>
      <w:bookmarkStart w:id="0" w:name="_GoBack"/>
      <w:bookmarkEnd w:id="0"/>
      <w:r w:rsidRPr="00A626FB">
        <w:rPr>
          <w:i/>
        </w:rPr>
        <w:t>Roger S. Waldon, FAICP</w:t>
      </w:r>
    </w:p>
    <w:p w:rsidR="00427650" w:rsidRPr="00A626FB" w:rsidRDefault="00427650" w:rsidP="00427650">
      <w:pPr>
        <w:jc w:val="center"/>
        <w:rPr>
          <w:i/>
          <w:sz w:val="20"/>
          <w:szCs w:val="20"/>
        </w:rPr>
      </w:pPr>
      <w:r w:rsidRPr="00A626FB">
        <w:rPr>
          <w:i/>
          <w:sz w:val="20"/>
          <w:szCs w:val="20"/>
        </w:rPr>
        <w:t>108 Bristol Drive</w:t>
      </w:r>
      <w:r w:rsidR="00A626FB">
        <w:rPr>
          <w:i/>
          <w:sz w:val="20"/>
          <w:szCs w:val="20"/>
        </w:rPr>
        <w:t xml:space="preserve"> </w:t>
      </w:r>
      <w:r w:rsidRPr="00A626FB">
        <w:rPr>
          <w:i/>
          <w:sz w:val="20"/>
          <w:szCs w:val="20"/>
        </w:rPr>
        <w:t xml:space="preserve">Chapel </w:t>
      </w:r>
      <w:r w:rsidR="00322699" w:rsidRPr="00A626FB">
        <w:rPr>
          <w:i/>
          <w:sz w:val="20"/>
          <w:szCs w:val="20"/>
        </w:rPr>
        <w:t>Hill, NC</w:t>
      </w:r>
      <w:r w:rsidRPr="00A626FB">
        <w:rPr>
          <w:i/>
          <w:sz w:val="20"/>
          <w:szCs w:val="20"/>
        </w:rPr>
        <w:t xml:space="preserve"> 27516</w:t>
      </w:r>
    </w:p>
    <w:p w:rsidR="00427650" w:rsidRDefault="00427650" w:rsidP="00427650">
      <w:pPr>
        <w:jc w:val="center"/>
        <w:rPr>
          <w:i/>
          <w:sz w:val="20"/>
          <w:szCs w:val="20"/>
        </w:rPr>
      </w:pPr>
      <w:r w:rsidRPr="00A626FB">
        <w:rPr>
          <w:i/>
          <w:sz w:val="20"/>
          <w:szCs w:val="20"/>
        </w:rPr>
        <w:t>rogerwaldon@gmail.com</w:t>
      </w:r>
    </w:p>
    <w:p w:rsidR="00A626FB" w:rsidRPr="00A626FB" w:rsidRDefault="00A626FB" w:rsidP="00A626FB">
      <w:pPr>
        <w:jc w:val="center"/>
        <w:rPr>
          <w:i/>
          <w:sz w:val="20"/>
          <w:szCs w:val="20"/>
        </w:rPr>
      </w:pPr>
      <w:r w:rsidRPr="00A626FB">
        <w:rPr>
          <w:i/>
          <w:sz w:val="20"/>
          <w:szCs w:val="20"/>
        </w:rPr>
        <w:t>(919) 824-6549</w:t>
      </w:r>
    </w:p>
    <w:p w:rsidR="00A626FB" w:rsidRPr="00A626FB" w:rsidRDefault="00A626FB" w:rsidP="00427650">
      <w:pPr>
        <w:jc w:val="center"/>
        <w:rPr>
          <w:i/>
          <w:sz w:val="20"/>
          <w:szCs w:val="20"/>
        </w:rPr>
      </w:pPr>
    </w:p>
    <w:p w:rsidR="003B5909" w:rsidRDefault="003B5909"/>
    <w:p w:rsidR="00A626FB" w:rsidRDefault="00A626FB" w:rsidP="00240898"/>
    <w:p w:rsidR="00A626FB" w:rsidRPr="00240898" w:rsidRDefault="00A626FB" w:rsidP="00240898"/>
    <w:p w:rsidR="00A626FB" w:rsidRDefault="00A626FB" w:rsidP="00A626FB">
      <w:pPr>
        <w:jc w:val="center"/>
        <w:rPr>
          <w:rFonts w:asciiTheme="majorHAnsi" w:hAnsiTheme="majorHAnsi"/>
        </w:rPr>
      </w:pPr>
      <w:r>
        <w:rPr>
          <w:rFonts w:asciiTheme="majorHAnsi" w:hAnsiTheme="majorHAnsi"/>
        </w:rPr>
        <w:t>MEMORANDUM</w:t>
      </w:r>
    </w:p>
    <w:p w:rsidR="00A626FB" w:rsidRDefault="00A626FB" w:rsidP="00A626FB">
      <w:pPr>
        <w:jc w:val="center"/>
        <w:rPr>
          <w:rFonts w:asciiTheme="majorHAnsi" w:hAnsiTheme="majorHAnsi"/>
        </w:rPr>
      </w:pPr>
    </w:p>
    <w:p w:rsidR="00A626FB" w:rsidRDefault="00A626FB" w:rsidP="00A626FB">
      <w:pPr>
        <w:rPr>
          <w:rFonts w:asciiTheme="majorHAnsi" w:hAnsiTheme="majorHAnsi"/>
        </w:rPr>
      </w:pPr>
      <w:r>
        <w:rPr>
          <w:rFonts w:asciiTheme="majorHAnsi" w:hAnsiTheme="majorHAnsi"/>
        </w:rPr>
        <w:t xml:space="preserve">TO: </w:t>
      </w:r>
      <w:r>
        <w:rPr>
          <w:rFonts w:asciiTheme="majorHAnsi" w:hAnsiTheme="majorHAnsi"/>
        </w:rPr>
        <w:tab/>
      </w:r>
      <w:r>
        <w:rPr>
          <w:rFonts w:asciiTheme="majorHAnsi" w:hAnsiTheme="majorHAnsi"/>
        </w:rPr>
        <w:tab/>
        <w:t>Ben Perry, East-West Partners</w:t>
      </w:r>
    </w:p>
    <w:p w:rsidR="00A626FB" w:rsidRDefault="00A626FB" w:rsidP="00A626FB">
      <w:pPr>
        <w:rPr>
          <w:rFonts w:asciiTheme="majorHAnsi" w:hAnsiTheme="majorHAnsi"/>
        </w:rPr>
      </w:pPr>
      <w:r>
        <w:rPr>
          <w:rFonts w:asciiTheme="majorHAnsi" w:hAnsiTheme="majorHAnsi"/>
        </w:rPr>
        <w:t>FROM:</w:t>
      </w:r>
      <w:r>
        <w:rPr>
          <w:rFonts w:asciiTheme="majorHAnsi" w:hAnsiTheme="majorHAnsi"/>
        </w:rPr>
        <w:tab/>
      </w:r>
      <w:r>
        <w:rPr>
          <w:rFonts w:asciiTheme="majorHAnsi" w:hAnsiTheme="majorHAnsi"/>
        </w:rPr>
        <w:tab/>
        <w:t>Roger Waldon, FAICP</w:t>
      </w:r>
    </w:p>
    <w:p w:rsidR="00A626FB" w:rsidRDefault="00A626FB" w:rsidP="00A626FB">
      <w:pPr>
        <w:rPr>
          <w:rFonts w:asciiTheme="majorHAnsi" w:hAnsiTheme="majorHAnsi"/>
        </w:rPr>
      </w:pPr>
      <w:r>
        <w:rPr>
          <w:rFonts w:asciiTheme="majorHAnsi" w:hAnsiTheme="majorHAnsi"/>
        </w:rPr>
        <w:t>SUBJECT:</w:t>
      </w:r>
      <w:r>
        <w:rPr>
          <w:rFonts w:asciiTheme="majorHAnsi" w:hAnsiTheme="majorHAnsi"/>
        </w:rPr>
        <w:tab/>
        <w:t>Mixed Use Development Principles, Regulations, and Examples</w:t>
      </w:r>
    </w:p>
    <w:p w:rsidR="00A626FB" w:rsidRDefault="00A626FB" w:rsidP="00A626FB">
      <w:pPr>
        <w:rPr>
          <w:rFonts w:asciiTheme="majorHAnsi" w:hAnsiTheme="majorHAnsi"/>
        </w:rPr>
      </w:pPr>
      <w:r>
        <w:rPr>
          <w:rFonts w:asciiTheme="majorHAnsi" w:hAnsiTheme="majorHAnsi"/>
        </w:rPr>
        <w:t>DATE:</w:t>
      </w:r>
      <w:r>
        <w:rPr>
          <w:rFonts w:asciiTheme="majorHAnsi" w:hAnsiTheme="majorHAnsi"/>
        </w:rPr>
        <w:tab/>
      </w:r>
      <w:r>
        <w:rPr>
          <w:rFonts w:asciiTheme="majorHAnsi" w:hAnsiTheme="majorHAnsi"/>
        </w:rPr>
        <w:tab/>
      </w:r>
      <w:r w:rsidR="00E144EA">
        <w:rPr>
          <w:rFonts w:asciiTheme="majorHAnsi" w:hAnsiTheme="majorHAnsi"/>
        </w:rPr>
        <w:t>December 8</w:t>
      </w:r>
      <w:r>
        <w:rPr>
          <w:rFonts w:asciiTheme="majorHAnsi" w:hAnsiTheme="majorHAnsi"/>
        </w:rPr>
        <w:t>, 2014</w:t>
      </w:r>
    </w:p>
    <w:p w:rsidR="00A626FB" w:rsidRDefault="00A626FB" w:rsidP="00A626FB">
      <w:pPr>
        <w:rPr>
          <w:rFonts w:asciiTheme="majorHAnsi" w:hAnsiTheme="majorHAnsi"/>
        </w:rPr>
      </w:pPr>
    </w:p>
    <w:p w:rsidR="00A626FB" w:rsidRDefault="00A626FB" w:rsidP="00A626FB">
      <w:pPr>
        <w:rPr>
          <w:rFonts w:asciiTheme="majorHAnsi" w:hAnsiTheme="majorHAnsi"/>
        </w:rPr>
      </w:pPr>
    </w:p>
    <w:p w:rsidR="00A626FB" w:rsidRDefault="00A626FB" w:rsidP="00A626FB">
      <w:pPr>
        <w:rPr>
          <w:rFonts w:asciiTheme="majorHAnsi" w:hAnsiTheme="majorHAnsi"/>
        </w:rPr>
      </w:pPr>
      <w:r>
        <w:rPr>
          <w:rFonts w:asciiTheme="majorHAnsi" w:hAnsiTheme="majorHAnsi"/>
        </w:rPr>
        <w:t xml:space="preserve">At the last Town Council Work Session on the Obey Creek Development Agreement, there was discussion about the possible mix of uses that could/should be present on a development site such as Obey Creek.  Roger Perry responded with good information about market considerations and what type of mix is most likely to be successful </w:t>
      </w:r>
      <w:r w:rsidR="00C2320A">
        <w:rPr>
          <w:rFonts w:asciiTheme="majorHAnsi" w:hAnsiTheme="majorHAnsi"/>
        </w:rPr>
        <w:t>- -</w:t>
      </w:r>
      <w:r>
        <w:rPr>
          <w:rFonts w:asciiTheme="majorHAnsi" w:hAnsiTheme="majorHAnsi"/>
        </w:rPr>
        <w:t xml:space="preserve"> both from a synergy perspective and from a financial viability perspective.  </w:t>
      </w:r>
      <w:r w:rsidR="00C2320A">
        <w:rPr>
          <w:rFonts w:asciiTheme="majorHAnsi" w:hAnsiTheme="majorHAnsi"/>
        </w:rPr>
        <w:t xml:space="preserve">There were also questions about “best practices” - - what has experience shown to be good blends of uses, what does research and literature suggest?  This memorandum offers observations and information </w:t>
      </w:r>
      <w:r w:rsidR="002929A3">
        <w:rPr>
          <w:rFonts w:asciiTheme="majorHAnsi" w:hAnsiTheme="majorHAnsi"/>
        </w:rPr>
        <w:t xml:space="preserve">on three issues related to mixed-use development, </w:t>
      </w:r>
      <w:r w:rsidR="00C2320A">
        <w:rPr>
          <w:rFonts w:asciiTheme="majorHAnsi" w:hAnsiTheme="majorHAnsi"/>
        </w:rPr>
        <w:t xml:space="preserve">from a land use planning perspective. </w:t>
      </w:r>
    </w:p>
    <w:p w:rsidR="00C2320A" w:rsidRDefault="00C2320A" w:rsidP="00A626FB">
      <w:pPr>
        <w:rPr>
          <w:rFonts w:asciiTheme="majorHAnsi" w:hAnsiTheme="majorHAnsi"/>
        </w:rPr>
      </w:pPr>
    </w:p>
    <w:p w:rsidR="00C2320A" w:rsidRDefault="00C2320A" w:rsidP="00A626FB">
      <w:pPr>
        <w:rPr>
          <w:rFonts w:asciiTheme="majorHAnsi" w:hAnsiTheme="majorHAnsi"/>
        </w:rPr>
      </w:pPr>
      <w:r>
        <w:rPr>
          <w:rFonts w:asciiTheme="majorHAnsi" w:hAnsiTheme="majorHAnsi"/>
        </w:rPr>
        <w:t xml:space="preserve">First:  The following message is ubiquitous in planning studies and articles:   There is no one answer to the question, “What is the ideal mix of uses in a mixed-use development?”  The most successful ratios of residential, commercial, and office/institutional components are different for most every site, and can change over time.  The geography of a site and market conditions are prime determinants in whether commercial, office, or residential uses should be emphasized.  </w:t>
      </w:r>
      <w:r w:rsidR="002929A3">
        <w:rPr>
          <w:rFonts w:asciiTheme="majorHAnsi" w:hAnsiTheme="majorHAnsi"/>
        </w:rPr>
        <w:t>Any formula for the mix of uses on a particular site needs to build in flexibility.</w:t>
      </w:r>
    </w:p>
    <w:p w:rsidR="002929A3" w:rsidRDefault="002929A3" w:rsidP="00A626FB">
      <w:pPr>
        <w:rPr>
          <w:rFonts w:asciiTheme="majorHAnsi" w:hAnsiTheme="majorHAnsi"/>
        </w:rPr>
      </w:pPr>
    </w:p>
    <w:p w:rsidR="002929A3" w:rsidRDefault="002929A3" w:rsidP="00A626FB">
      <w:pPr>
        <w:rPr>
          <w:rFonts w:asciiTheme="majorHAnsi" w:hAnsiTheme="majorHAnsi"/>
        </w:rPr>
      </w:pPr>
      <w:r>
        <w:rPr>
          <w:rFonts w:asciiTheme="majorHAnsi" w:hAnsiTheme="majorHAnsi"/>
        </w:rPr>
        <w:t>Next, a key concept in the vision of mixed use development is that each of the use groups contributes to the vitality of the other use groups, creating synergy; but also each of the use groups involved needs to be of significant size.  The Urban Land Institute describes successful mixed use this way:  “At least three integrated uses and each of them must be substantial enough to attract a significant market in their own right (not simply serve as amenities for a primary use.”</w:t>
      </w:r>
    </w:p>
    <w:p w:rsidR="00C2320A" w:rsidRDefault="00C2320A" w:rsidP="00A626FB">
      <w:pPr>
        <w:rPr>
          <w:rFonts w:asciiTheme="majorHAnsi" w:hAnsiTheme="majorHAnsi"/>
        </w:rPr>
      </w:pPr>
    </w:p>
    <w:p w:rsidR="00C2320A" w:rsidRDefault="002929A3" w:rsidP="00A626FB">
      <w:pPr>
        <w:rPr>
          <w:rFonts w:asciiTheme="majorHAnsi" w:hAnsiTheme="majorHAnsi"/>
        </w:rPr>
      </w:pPr>
      <w:r>
        <w:rPr>
          <w:rFonts w:asciiTheme="majorHAnsi" w:hAnsiTheme="majorHAnsi"/>
        </w:rPr>
        <w:t>Finally, a review of mixe</w:t>
      </w:r>
      <w:r w:rsidR="00743CC2">
        <w:rPr>
          <w:rFonts w:asciiTheme="majorHAnsi" w:hAnsiTheme="majorHAnsi"/>
        </w:rPr>
        <w:t xml:space="preserve">d-use zoning regulations currently in place around the country confirms the viability of the practice of using ranges rather than specific formulas to shape the mix of uses on any particular site.  A table on the following page offers examples of ranges suggested by the American Planning Association, and regulations currently in place elsewhere.  Also included in the table are figures showing the distribution of uses for three successful mixed-use sites from other cities.  The last row on the table shows the proposed mix </w:t>
      </w:r>
      <w:r w:rsidR="000B651E">
        <w:rPr>
          <w:rFonts w:asciiTheme="majorHAnsi" w:hAnsiTheme="majorHAnsi"/>
        </w:rPr>
        <w:t>of uses for the Obey Creek site, showing how the Obey Creek proposal aligns with current best practices.</w:t>
      </w:r>
    </w:p>
    <w:p w:rsidR="00743CC2" w:rsidRDefault="00743CC2" w:rsidP="00A626FB">
      <w:pPr>
        <w:rPr>
          <w:rFonts w:asciiTheme="majorHAnsi" w:hAnsiTheme="majorHAnsi"/>
        </w:rPr>
      </w:pPr>
    </w:p>
    <w:p w:rsidR="00743CC2" w:rsidRDefault="00743CC2" w:rsidP="00A626FB">
      <w:pPr>
        <w:rPr>
          <w:rFonts w:asciiTheme="majorHAnsi" w:hAnsiTheme="majorHAnsi"/>
        </w:rPr>
      </w:pPr>
    </w:p>
    <w:p w:rsidR="00743CC2" w:rsidRDefault="00743CC2" w:rsidP="00A626FB">
      <w:pPr>
        <w:rPr>
          <w:rFonts w:asciiTheme="majorHAnsi" w:hAnsiTheme="majorHAnsi"/>
        </w:rPr>
      </w:pPr>
    </w:p>
    <w:p w:rsidR="00A626FB" w:rsidRDefault="00A626FB" w:rsidP="00A626FB">
      <w:pPr>
        <w:rPr>
          <w:rFonts w:asciiTheme="majorHAnsi" w:hAnsiTheme="majorHAnsi"/>
        </w:rPr>
      </w:pPr>
    </w:p>
    <w:p w:rsidR="00743CC2" w:rsidRPr="00743CC2" w:rsidRDefault="00743CC2" w:rsidP="00743CC2">
      <w:pPr>
        <w:rPr>
          <w:rFonts w:asciiTheme="majorHAnsi" w:hAnsiTheme="majorHAnsi"/>
        </w:rPr>
      </w:pPr>
    </w:p>
    <w:tbl>
      <w:tblPr>
        <w:tblStyle w:val="TableGrid"/>
        <w:tblW w:w="9450" w:type="dxa"/>
        <w:tblInd w:w="-342" w:type="dxa"/>
        <w:tblLook w:val="04A0" w:firstRow="1" w:lastRow="0" w:firstColumn="1" w:lastColumn="0" w:noHBand="0" w:noVBand="1"/>
      </w:tblPr>
      <w:tblGrid>
        <w:gridCol w:w="2556"/>
        <w:gridCol w:w="2214"/>
        <w:gridCol w:w="2214"/>
        <w:gridCol w:w="2466"/>
      </w:tblGrid>
      <w:tr w:rsidR="00743CC2" w:rsidRPr="00743CC2" w:rsidTr="00CC4850">
        <w:tc>
          <w:tcPr>
            <w:tcW w:w="2556" w:type="dxa"/>
          </w:tcPr>
          <w:p w:rsidR="00EF5F0D" w:rsidRDefault="00EF5F0D" w:rsidP="00743CC2">
            <w:pPr>
              <w:jc w:val="center"/>
              <w:rPr>
                <w:rFonts w:asciiTheme="majorHAnsi" w:hAnsiTheme="majorHAnsi"/>
                <w:b/>
              </w:rPr>
            </w:pPr>
          </w:p>
          <w:p w:rsidR="00743CC2" w:rsidRPr="00743CC2" w:rsidRDefault="00743CC2" w:rsidP="00743CC2">
            <w:pPr>
              <w:jc w:val="center"/>
              <w:rPr>
                <w:rFonts w:asciiTheme="majorHAnsi" w:hAnsiTheme="majorHAnsi"/>
                <w:b/>
              </w:rPr>
            </w:pPr>
            <w:r w:rsidRPr="00743CC2">
              <w:rPr>
                <w:rFonts w:asciiTheme="majorHAnsi" w:hAnsiTheme="majorHAnsi"/>
                <w:b/>
              </w:rPr>
              <w:t>Source</w:t>
            </w:r>
          </w:p>
        </w:tc>
        <w:tc>
          <w:tcPr>
            <w:tcW w:w="2214" w:type="dxa"/>
          </w:tcPr>
          <w:p w:rsidR="00743CC2" w:rsidRPr="00743CC2" w:rsidRDefault="00743CC2" w:rsidP="00743CC2">
            <w:pPr>
              <w:jc w:val="center"/>
              <w:rPr>
                <w:rFonts w:asciiTheme="majorHAnsi" w:hAnsiTheme="majorHAnsi"/>
                <w:b/>
              </w:rPr>
            </w:pPr>
            <w:r w:rsidRPr="00743CC2">
              <w:rPr>
                <w:rFonts w:asciiTheme="majorHAnsi" w:hAnsiTheme="majorHAnsi"/>
                <w:b/>
              </w:rPr>
              <w:t>Resid</w:t>
            </w:r>
            <w:r>
              <w:rPr>
                <w:rFonts w:asciiTheme="majorHAnsi" w:hAnsiTheme="majorHAnsi"/>
                <w:b/>
              </w:rPr>
              <w:t>ential</w:t>
            </w:r>
            <w:r w:rsidR="00EF5F0D">
              <w:rPr>
                <w:rFonts w:asciiTheme="majorHAnsi" w:hAnsiTheme="majorHAnsi"/>
                <w:b/>
              </w:rPr>
              <w:t xml:space="preserve"> Uses</w:t>
            </w:r>
            <w:r w:rsidRPr="00743CC2">
              <w:rPr>
                <w:rFonts w:asciiTheme="majorHAnsi" w:hAnsiTheme="majorHAnsi"/>
                <w:b/>
              </w:rPr>
              <w:t xml:space="preserve"> Min-Max %</w:t>
            </w:r>
          </w:p>
        </w:tc>
        <w:tc>
          <w:tcPr>
            <w:tcW w:w="2214" w:type="dxa"/>
          </w:tcPr>
          <w:p w:rsidR="00EF5F0D" w:rsidRDefault="00743CC2" w:rsidP="00EF5F0D">
            <w:pPr>
              <w:jc w:val="center"/>
              <w:rPr>
                <w:rFonts w:asciiTheme="majorHAnsi" w:hAnsiTheme="majorHAnsi"/>
                <w:b/>
              </w:rPr>
            </w:pPr>
            <w:r w:rsidRPr="00743CC2">
              <w:rPr>
                <w:rFonts w:asciiTheme="majorHAnsi" w:hAnsiTheme="majorHAnsi"/>
                <w:b/>
              </w:rPr>
              <w:t>Of</w:t>
            </w:r>
            <w:r w:rsidR="00EF5F0D">
              <w:rPr>
                <w:rFonts w:asciiTheme="majorHAnsi" w:hAnsiTheme="majorHAnsi"/>
                <w:b/>
              </w:rPr>
              <w:t xml:space="preserve">fice Uses    </w:t>
            </w:r>
          </w:p>
          <w:p w:rsidR="00743CC2" w:rsidRPr="00743CC2" w:rsidRDefault="00743CC2" w:rsidP="00EF5F0D">
            <w:pPr>
              <w:jc w:val="center"/>
              <w:rPr>
                <w:rFonts w:asciiTheme="majorHAnsi" w:hAnsiTheme="majorHAnsi"/>
                <w:b/>
              </w:rPr>
            </w:pPr>
            <w:r w:rsidRPr="00743CC2">
              <w:rPr>
                <w:rFonts w:asciiTheme="majorHAnsi" w:hAnsiTheme="majorHAnsi"/>
                <w:b/>
              </w:rPr>
              <w:t xml:space="preserve"> Min-Max %</w:t>
            </w:r>
          </w:p>
        </w:tc>
        <w:tc>
          <w:tcPr>
            <w:tcW w:w="2466" w:type="dxa"/>
          </w:tcPr>
          <w:p w:rsidR="00EF5F0D" w:rsidRDefault="00743CC2" w:rsidP="00743CC2">
            <w:pPr>
              <w:jc w:val="center"/>
              <w:rPr>
                <w:rFonts w:asciiTheme="majorHAnsi" w:hAnsiTheme="majorHAnsi"/>
                <w:b/>
              </w:rPr>
            </w:pPr>
            <w:r w:rsidRPr="00743CC2">
              <w:rPr>
                <w:rFonts w:asciiTheme="majorHAnsi" w:hAnsiTheme="majorHAnsi"/>
                <w:b/>
              </w:rPr>
              <w:t>Comm</w:t>
            </w:r>
            <w:r w:rsidR="00EF5F0D">
              <w:rPr>
                <w:rFonts w:asciiTheme="majorHAnsi" w:hAnsiTheme="majorHAnsi"/>
                <w:b/>
              </w:rPr>
              <w:t>ercial Uses</w:t>
            </w:r>
            <w:r w:rsidRPr="00743CC2">
              <w:rPr>
                <w:rFonts w:asciiTheme="majorHAnsi" w:hAnsiTheme="majorHAnsi"/>
                <w:b/>
              </w:rPr>
              <w:t xml:space="preserve"> </w:t>
            </w:r>
          </w:p>
          <w:p w:rsidR="00743CC2" w:rsidRPr="00743CC2" w:rsidRDefault="00743CC2" w:rsidP="00743CC2">
            <w:pPr>
              <w:jc w:val="center"/>
              <w:rPr>
                <w:rFonts w:asciiTheme="majorHAnsi" w:hAnsiTheme="majorHAnsi"/>
                <w:b/>
              </w:rPr>
            </w:pPr>
            <w:r w:rsidRPr="00743CC2">
              <w:rPr>
                <w:rFonts w:asciiTheme="majorHAnsi" w:hAnsiTheme="majorHAnsi"/>
                <w:b/>
              </w:rPr>
              <w:t>Min</w:t>
            </w:r>
            <w:r w:rsidR="00EF5F0D">
              <w:rPr>
                <w:rFonts w:asciiTheme="majorHAnsi" w:hAnsiTheme="majorHAnsi"/>
                <w:b/>
              </w:rPr>
              <w:t>-</w:t>
            </w:r>
            <w:r w:rsidRPr="00743CC2">
              <w:rPr>
                <w:rFonts w:asciiTheme="majorHAnsi" w:hAnsiTheme="majorHAnsi"/>
                <w:b/>
              </w:rPr>
              <w:t>Max %</w:t>
            </w:r>
          </w:p>
          <w:p w:rsidR="00743CC2" w:rsidRPr="00743CC2" w:rsidRDefault="00743CC2" w:rsidP="00743CC2">
            <w:pPr>
              <w:jc w:val="center"/>
              <w:rPr>
                <w:rFonts w:asciiTheme="majorHAnsi" w:hAnsiTheme="majorHAnsi"/>
                <w:b/>
              </w:rPr>
            </w:pPr>
          </w:p>
        </w:tc>
      </w:tr>
      <w:tr w:rsidR="00743CC2" w:rsidRPr="00743CC2" w:rsidTr="00CC4850">
        <w:tc>
          <w:tcPr>
            <w:tcW w:w="2556" w:type="dxa"/>
          </w:tcPr>
          <w:p w:rsidR="00743CC2" w:rsidRPr="00743CC2" w:rsidRDefault="00743CC2" w:rsidP="00743CC2">
            <w:pPr>
              <w:rPr>
                <w:rFonts w:asciiTheme="majorHAnsi" w:hAnsiTheme="majorHAnsi"/>
              </w:rPr>
            </w:pPr>
            <w:r>
              <w:rPr>
                <w:rFonts w:asciiTheme="majorHAnsi" w:hAnsiTheme="majorHAnsi"/>
              </w:rPr>
              <w:t>APA Suggested Mix</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20 </w:t>
            </w:r>
            <w:r w:rsidR="00EF5F0D">
              <w:rPr>
                <w:rFonts w:asciiTheme="majorHAnsi" w:hAnsiTheme="majorHAnsi"/>
              </w:rPr>
              <w:t>–</w:t>
            </w:r>
            <w:r w:rsidRPr="00743CC2">
              <w:rPr>
                <w:rFonts w:asciiTheme="majorHAnsi" w:hAnsiTheme="majorHAnsi"/>
              </w:rPr>
              <w:t xml:space="preserve"> 60</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20 </w:t>
            </w:r>
            <w:r w:rsidR="00EF5F0D">
              <w:rPr>
                <w:rFonts w:asciiTheme="majorHAnsi" w:hAnsiTheme="majorHAnsi"/>
              </w:rPr>
              <w:t>–</w:t>
            </w:r>
            <w:r w:rsidRPr="00743CC2">
              <w:rPr>
                <w:rFonts w:asciiTheme="majorHAnsi" w:hAnsiTheme="majorHAnsi"/>
              </w:rPr>
              <w:t xml:space="preserve"> 60</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 xml:space="preserve">20 </w:t>
            </w:r>
            <w:r w:rsidR="00EF5F0D">
              <w:rPr>
                <w:rFonts w:asciiTheme="majorHAnsi" w:hAnsiTheme="majorHAnsi"/>
              </w:rPr>
              <w:t>–</w:t>
            </w:r>
            <w:r w:rsidRPr="00743CC2">
              <w:rPr>
                <w:rFonts w:asciiTheme="majorHAnsi" w:hAnsiTheme="majorHAnsi"/>
              </w:rPr>
              <w:t xml:space="preserve"> 60</w:t>
            </w:r>
            <w:r w:rsidR="00EF5F0D">
              <w:rPr>
                <w:rFonts w:asciiTheme="majorHAnsi" w:hAnsiTheme="majorHAnsi"/>
              </w:rPr>
              <w:t>%</w:t>
            </w:r>
          </w:p>
        </w:tc>
      </w:tr>
      <w:tr w:rsidR="00EF5F0D" w:rsidRPr="00743CC2" w:rsidTr="00A400FE">
        <w:tc>
          <w:tcPr>
            <w:tcW w:w="9450" w:type="dxa"/>
            <w:gridSpan w:val="4"/>
            <w:shd w:val="clear" w:color="auto" w:fill="DDD9C3" w:themeFill="background2" w:themeFillShade="E6"/>
          </w:tcPr>
          <w:p w:rsidR="00EF5F0D" w:rsidRDefault="00EF5F0D" w:rsidP="00EF5F0D">
            <w:pPr>
              <w:rPr>
                <w:rFonts w:asciiTheme="majorHAnsi" w:hAnsiTheme="majorHAnsi"/>
              </w:rPr>
            </w:pPr>
          </w:p>
          <w:p w:rsidR="00EF5F0D" w:rsidRDefault="00EF5F0D" w:rsidP="00EF5F0D">
            <w:pPr>
              <w:rPr>
                <w:rFonts w:asciiTheme="majorHAnsi" w:hAnsiTheme="majorHAnsi"/>
              </w:rPr>
            </w:pPr>
            <w:r>
              <w:rPr>
                <w:rFonts w:asciiTheme="majorHAnsi" w:hAnsiTheme="majorHAnsi"/>
              </w:rPr>
              <w:t>Existing Regulations:</w:t>
            </w:r>
          </w:p>
          <w:p w:rsidR="00EF5F0D" w:rsidRPr="00743CC2" w:rsidRDefault="00EF5F0D" w:rsidP="00EF5F0D">
            <w:pPr>
              <w:rPr>
                <w:rFonts w:asciiTheme="majorHAnsi" w:hAnsiTheme="majorHAnsi"/>
              </w:rPr>
            </w:pPr>
          </w:p>
        </w:tc>
      </w:tr>
      <w:tr w:rsidR="00743CC2" w:rsidRPr="00743CC2" w:rsidTr="00CC4850">
        <w:tc>
          <w:tcPr>
            <w:tcW w:w="2556" w:type="dxa"/>
          </w:tcPr>
          <w:p w:rsidR="00743CC2" w:rsidRPr="00743CC2" w:rsidRDefault="00743CC2" w:rsidP="00743CC2">
            <w:pPr>
              <w:rPr>
                <w:rFonts w:asciiTheme="majorHAnsi" w:hAnsiTheme="majorHAnsi"/>
              </w:rPr>
            </w:pPr>
            <w:r w:rsidRPr="00743CC2">
              <w:rPr>
                <w:rFonts w:asciiTheme="majorHAnsi" w:hAnsiTheme="majorHAnsi"/>
              </w:rPr>
              <w:t>Colo</w:t>
            </w:r>
            <w:r w:rsidR="00EF5F0D">
              <w:rPr>
                <w:rFonts w:asciiTheme="majorHAnsi" w:hAnsiTheme="majorHAnsi"/>
              </w:rPr>
              <w:t>rado</w:t>
            </w:r>
            <w:r w:rsidRPr="00743CC2">
              <w:rPr>
                <w:rFonts w:asciiTheme="majorHAnsi" w:hAnsiTheme="majorHAnsi"/>
              </w:rPr>
              <w:t xml:space="preserve"> Springs CO</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r>
      <w:tr w:rsidR="00743CC2" w:rsidRPr="00743CC2" w:rsidTr="00CC4850">
        <w:tc>
          <w:tcPr>
            <w:tcW w:w="2556" w:type="dxa"/>
          </w:tcPr>
          <w:p w:rsidR="00743CC2" w:rsidRPr="00743CC2" w:rsidRDefault="00743CC2" w:rsidP="00743CC2">
            <w:pPr>
              <w:rPr>
                <w:rFonts w:asciiTheme="majorHAnsi" w:hAnsiTheme="majorHAnsi"/>
              </w:rPr>
            </w:pPr>
            <w:r w:rsidRPr="00743CC2">
              <w:rPr>
                <w:rFonts w:asciiTheme="majorHAnsi" w:hAnsiTheme="majorHAnsi"/>
              </w:rPr>
              <w:t>Broward Co</w:t>
            </w:r>
            <w:r w:rsidR="00EF5F0D">
              <w:rPr>
                <w:rFonts w:asciiTheme="majorHAnsi" w:hAnsiTheme="majorHAnsi"/>
              </w:rPr>
              <w:t>unty</w:t>
            </w:r>
            <w:r w:rsidRPr="00743CC2">
              <w:rPr>
                <w:rFonts w:asciiTheme="majorHAnsi" w:hAnsiTheme="majorHAnsi"/>
              </w:rPr>
              <w:t xml:space="preserve"> FL</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 xml:space="preserve">10 </w:t>
            </w:r>
            <w:r w:rsidR="00EF5F0D">
              <w:rPr>
                <w:rFonts w:asciiTheme="majorHAnsi" w:hAnsiTheme="majorHAnsi"/>
              </w:rPr>
              <w:t>–</w:t>
            </w:r>
            <w:r w:rsidRPr="00743CC2">
              <w:rPr>
                <w:rFonts w:asciiTheme="majorHAnsi" w:hAnsiTheme="majorHAnsi"/>
              </w:rPr>
              <w:t xml:space="preserve"> 80</w:t>
            </w:r>
            <w:r w:rsidR="00EF5F0D">
              <w:rPr>
                <w:rFonts w:asciiTheme="majorHAnsi" w:hAnsiTheme="majorHAnsi"/>
              </w:rPr>
              <w:t>%</w:t>
            </w:r>
          </w:p>
        </w:tc>
      </w:tr>
      <w:tr w:rsidR="00EF5F0D" w:rsidRPr="00743CC2" w:rsidTr="00CC4850">
        <w:tc>
          <w:tcPr>
            <w:tcW w:w="2556" w:type="dxa"/>
          </w:tcPr>
          <w:p w:rsidR="00EF5F0D" w:rsidRPr="00743CC2" w:rsidRDefault="00EF5F0D" w:rsidP="00743CC2">
            <w:pPr>
              <w:rPr>
                <w:rFonts w:asciiTheme="majorHAnsi" w:hAnsiTheme="majorHAnsi"/>
              </w:rPr>
            </w:pPr>
            <w:r w:rsidRPr="00EF5F0D">
              <w:rPr>
                <w:rFonts w:asciiTheme="majorHAnsi" w:hAnsiTheme="majorHAnsi"/>
              </w:rPr>
              <w:t>Wilmington NC</w:t>
            </w:r>
          </w:p>
        </w:tc>
        <w:tc>
          <w:tcPr>
            <w:tcW w:w="2214" w:type="dxa"/>
          </w:tcPr>
          <w:p w:rsidR="00EF5F0D" w:rsidRPr="00743CC2" w:rsidRDefault="00EF5F0D" w:rsidP="00743CC2">
            <w:pPr>
              <w:jc w:val="center"/>
              <w:rPr>
                <w:rFonts w:asciiTheme="majorHAnsi" w:hAnsiTheme="majorHAnsi"/>
              </w:rPr>
            </w:pPr>
            <w:r w:rsidRPr="00EF5F0D">
              <w:rPr>
                <w:rFonts w:asciiTheme="majorHAnsi" w:hAnsiTheme="majorHAnsi"/>
              </w:rPr>
              <w:t xml:space="preserve">20 </w:t>
            </w:r>
            <w:r>
              <w:rPr>
                <w:rFonts w:asciiTheme="majorHAnsi" w:hAnsiTheme="majorHAnsi"/>
              </w:rPr>
              <w:t>–</w:t>
            </w:r>
            <w:r w:rsidRPr="00EF5F0D">
              <w:rPr>
                <w:rFonts w:asciiTheme="majorHAnsi" w:hAnsiTheme="majorHAnsi"/>
              </w:rPr>
              <w:t xml:space="preserve"> 60</w:t>
            </w:r>
            <w:r>
              <w:rPr>
                <w:rFonts w:asciiTheme="majorHAnsi" w:hAnsiTheme="majorHAnsi"/>
              </w:rPr>
              <w:t>%</w:t>
            </w:r>
          </w:p>
        </w:tc>
        <w:tc>
          <w:tcPr>
            <w:tcW w:w="2214" w:type="dxa"/>
          </w:tcPr>
          <w:p w:rsidR="00EF5F0D" w:rsidRPr="00743CC2" w:rsidRDefault="00EF5F0D" w:rsidP="00743CC2">
            <w:pPr>
              <w:jc w:val="center"/>
              <w:rPr>
                <w:rFonts w:asciiTheme="majorHAnsi" w:hAnsiTheme="majorHAnsi"/>
              </w:rPr>
            </w:pPr>
            <w:r w:rsidRPr="00EF5F0D">
              <w:rPr>
                <w:rFonts w:asciiTheme="majorHAnsi" w:hAnsiTheme="majorHAnsi"/>
              </w:rPr>
              <w:t xml:space="preserve">20 </w:t>
            </w:r>
            <w:r>
              <w:rPr>
                <w:rFonts w:asciiTheme="majorHAnsi" w:hAnsiTheme="majorHAnsi"/>
              </w:rPr>
              <w:t>–</w:t>
            </w:r>
            <w:r w:rsidRPr="00EF5F0D">
              <w:rPr>
                <w:rFonts w:asciiTheme="majorHAnsi" w:hAnsiTheme="majorHAnsi"/>
              </w:rPr>
              <w:t xml:space="preserve"> 60</w:t>
            </w:r>
            <w:r>
              <w:rPr>
                <w:rFonts w:asciiTheme="majorHAnsi" w:hAnsiTheme="majorHAnsi"/>
              </w:rPr>
              <w:t>%</w:t>
            </w:r>
          </w:p>
        </w:tc>
        <w:tc>
          <w:tcPr>
            <w:tcW w:w="2466" w:type="dxa"/>
          </w:tcPr>
          <w:p w:rsidR="00EF5F0D" w:rsidRPr="00743CC2" w:rsidRDefault="00EF5F0D" w:rsidP="00743CC2">
            <w:pPr>
              <w:jc w:val="center"/>
              <w:rPr>
                <w:rFonts w:asciiTheme="majorHAnsi" w:hAnsiTheme="majorHAnsi"/>
              </w:rPr>
            </w:pPr>
            <w:r w:rsidRPr="00EF5F0D">
              <w:rPr>
                <w:rFonts w:asciiTheme="majorHAnsi" w:hAnsiTheme="majorHAnsi"/>
              </w:rPr>
              <w:t xml:space="preserve">20 </w:t>
            </w:r>
            <w:r>
              <w:rPr>
                <w:rFonts w:asciiTheme="majorHAnsi" w:hAnsiTheme="majorHAnsi"/>
              </w:rPr>
              <w:t>–</w:t>
            </w:r>
            <w:r w:rsidRPr="00EF5F0D">
              <w:rPr>
                <w:rFonts w:asciiTheme="majorHAnsi" w:hAnsiTheme="majorHAnsi"/>
              </w:rPr>
              <w:t xml:space="preserve"> 60</w:t>
            </w:r>
            <w:r>
              <w:rPr>
                <w:rFonts w:asciiTheme="majorHAnsi" w:hAnsiTheme="majorHAnsi"/>
              </w:rPr>
              <w:t>%</w:t>
            </w:r>
          </w:p>
        </w:tc>
      </w:tr>
      <w:tr w:rsidR="00EF5F0D" w:rsidRPr="00743CC2" w:rsidTr="00924B4B">
        <w:tc>
          <w:tcPr>
            <w:tcW w:w="2556" w:type="dxa"/>
          </w:tcPr>
          <w:p w:rsidR="00EF5F0D" w:rsidRPr="00743CC2" w:rsidRDefault="00EF5F0D" w:rsidP="00743CC2">
            <w:pPr>
              <w:rPr>
                <w:rFonts w:asciiTheme="majorHAnsi" w:hAnsiTheme="majorHAnsi"/>
              </w:rPr>
            </w:pPr>
            <w:r w:rsidRPr="00EF5F0D">
              <w:rPr>
                <w:rFonts w:asciiTheme="majorHAnsi" w:hAnsiTheme="majorHAnsi"/>
              </w:rPr>
              <w:t>Sparks NV</w:t>
            </w:r>
          </w:p>
        </w:tc>
        <w:tc>
          <w:tcPr>
            <w:tcW w:w="2214" w:type="dxa"/>
          </w:tcPr>
          <w:p w:rsidR="00EF5F0D" w:rsidRPr="00743CC2" w:rsidRDefault="00EF5F0D" w:rsidP="00743CC2">
            <w:pPr>
              <w:jc w:val="center"/>
              <w:rPr>
                <w:rFonts w:asciiTheme="majorHAnsi" w:hAnsiTheme="majorHAnsi"/>
              </w:rPr>
            </w:pPr>
            <w:r w:rsidRPr="00EF5F0D">
              <w:rPr>
                <w:rFonts w:asciiTheme="majorHAnsi" w:hAnsiTheme="majorHAnsi"/>
              </w:rPr>
              <w:t xml:space="preserve">25 </w:t>
            </w:r>
            <w:r>
              <w:rPr>
                <w:rFonts w:asciiTheme="majorHAnsi" w:hAnsiTheme="majorHAnsi"/>
              </w:rPr>
              <w:t>–</w:t>
            </w:r>
            <w:r w:rsidRPr="00EF5F0D">
              <w:rPr>
                <w:rFonts w:asciiTheme="majorHAnsi" w:hAnsiTheme="majorHAnsi"/>
              </w:rPr>
              <w:t xml:space="preserve"> 60</w:t>
            </w:r>
            <w:r>
              <w:rPr>
                <w:rFonts w:asciiTheme="majorHAnsi" w:hAnsiTheme="majorHAnsi"/>
              </w:rPr>
              <w:t>%</w:t>
            </w:r>
          </w:p>
        </w:tc>
        <w:tc>
          <w:tcPr>
            <w:tcW w:w="4680" w:type="dxa"/>
            <w:gridSpan w:val="2"/>
          </w:tcPr>
          <w:p w:rsidR="00EF5F0D" w:rsidRPr="00743CC2" w:rsidRDefault="00EF5F0D" w:rsidP="00EF5F0D">
            <w:pPr>
              <w:rPr>
                <w:rFonts w:asciiTheme="majorHAnsi" w:hAnsiTheme="majorHAnsi"/>
              </w:rPr>
            </w:pPr>
            <w:r>
              <w:rPr>
                <w:rFonts w:asciiTheme="majorHAnsi" w:hAnsiTheme="majorHAnsi"/>
              </w:rPr>
              <w:t xml:space="preserve">                                </w:t>
            </w:r>
            <w:r w:rsidRPr="00EF5F0D">
              <w:rPr>
                <w:rFonts w:asciiTheme="majorHAnsi" w:hAnsiTheme="majorHAnsi"/>
              </w:rPr>
              <w:t xml:space="preserve">40 </w:t>
            </w:r>
            <w:r>
              <w:rPr>
                <w:rFonts w:asciiTheme="majorHAnsi" w:hAnsiTheme="majorHAnsi"/>
              </w:rPr>
              <w:t>–</w:t>
            </w:r>
            <w:r w:rsidRPr="00EF5F0D">
              <w:rPr>
                <w:rFonts w:asciiTheme="majorHAnsi" w:hAnsiTheme="majorHAnsi"/>
              </w:rPr>
              <w:t xml:space="preserve"> 75</w:t>
            </w:r>
            <w:r>
              <w:rPr>
                <w:rFonts w:asciiTheme="majorHAnsi" w:hAnsiTheme="majorHAnsi"/>
              </w:rPr>
              <w:t>%</w:t>
            </w:r>
          </w:p>
        </w:tc>
      </w:tr>
      <w:tr w:rsidR="00EF5F0D" w:rsidRPr="00743CC2" w:rsidTr="00F40D0B">
        <w:tc>
          <w:tcPr>
            <w:tcW w:w="2556" w:type="dxa"/>
          </w:tcPr>
          <w:p w:rsidR="00EF5F0D" w:rsidRPr="00743CC2" w:rsidRDefault="00EF5F0D" w:rsidP="00743CC2">
            <w:pPr>
              <w:rPr>
                <w:rFonts w:asciiTheme="majorHAnsi" w:hAnsiTheme="majorHAnsi"/>
              </w:rPr>
            </w:pPr>
            <w:r>
              <w:rPr>
                <w:rFonts w:asciiTheme="majorHAnsi" w:hAnsiTheme="majorHAnsi"/>
              </w:rPr>
              <w:t>Chapel Hill MU-V</w:t>
            </w:r>
          </w:p>
        </w:tc>
        <w:tc>
          <w:tcPr>
            <w:tcW w:w="2214" w:type="dxa"/>
          </w:tcPr>
          <w:p w:rsidR="00EF5F0D" w:rsidRPr="00743CC2" w:rsidRDefault="00EF5F0D" w:rsidP="00743CC2">
            <w:pPr>
              <w:jc w:val="center"/>
              <w:rPr>
                <w:rFonts w:asciiTheme="majorHAnsi" w:hAnsiTheme="majorHAnsi"/>
              </w:rPr>
            </w:pPr>
            <w:r>
              <w:rPr>
                <w:rFonts w:asciiTheme="majorHAnsi" w:hAnsiTheme="majorHAnsi"/>
              </w:rPr>
              <w:t>25 – 75%</w:t>
            </w:r>
          </w:p>
        </w:tc>
        <w:tc>
          <w:tcPr>
            <w:tcW w:w="4680" w:type="dxa"/>
            <w:gridSpan w:val="2"/>
          </w:tcPr>
          <w:p w:rsidR="00EF5F0D" w:rsidRPr="00743CC2" w:rsidRDefault="00EF5F0D" w:rsidP="00EF5F0D">
            <w:pPr>
              <w:rPr>
                <w:rFonts w:asciiTheme="majorHAnsi" w:hAnsiTheme="majorHAnsi"/>
              </w:rPr>
            </w:pPr>
            <w:r>
              <w:rPr>
                <w:rFonts w:asciiTheme="majorHAnsi" w:hAnsiTheme="majorHAnsi"/>
              </w:rPr>
              <w:t xml:space="preserve">                                25 – 75%</w:t>
            </w:r>
          </w:p>
        </w:tc>
      </w:tr>
      <w:tr w:rsidR="00EF5F0D" w:rsidRPr="00743CC2" w:rsidTr="00EF5F0D">
        <w:tc>
          <w:tcPr>
            <w:tcW w:w="9450" w:type="dxa"/>
            <w:gridSpan w:val="4"/>
            <w:shd w:val="clear" w:color="auto" w:fill="DDD9C3" w:themeFill="background2" w:themeFillShade="E6"/>
          </w:tcPr>
          <w:p w:rsidR="00EF5F0D" w:rsidRDefault="00EF5F0D" w:rsidP="00EF5F0D">
            <w:pPr>
              <w:rPr>
                <w:rFonts w:asciiTheme="majorHAnsi" w:hAnsiTheme="majorHAnsi"/>
              </w:rPr>
            </w:pPr>
          </w:p>
          <w:p w:rsidR="00EF5F0D" w:rsidRDefault="00EF5F0D" w:rsidP="00EF5F0D">
            <w:pPr>
              <w:rPr>
                <w:rFonts w:asciiTheme="majorHAnsi" w:hAnsiTheme="majorHAnsi"/>
              </w:rPr>
            </w:pPr>
            <w:r>
              <w:rPr>
                <w:rFonts w:asciiTheme="majorHAnsi" w:hAnsiTheme="majorHAnsi"/>
              </w:rPr>
              <w:t>On-the-ground Examples</w:t>
            </w:r>
            <w:r w:rsidR="00727065">
              <w:rPr>
                <w:rFonts w:asciiTheme="majorHAnsi" w:hAnsiTheme="majorHAnsi"/>
              </w:rPr>
              <w:t>:</w:t>
            </w:r>
          </w:p>
          <w:p w:rsidR="00EF5F0D" w:rsidRPr="00743CC2" w:rsidRDefault="00EF5F0D" w:rsidP="00EF5F0D">
            <w:pPr>
              <w:rPr>
                <w:rFonts w:asciiTheme="majorHAnsi" w:hAnsiTheme="majorHAnsi"/>
              </w:rPr>
            </w:pPr>
          </w:p>
        </w:tc>
      </w:tr>
      <w:tr w:rsidR="00743CC2" w:rsidRPr="00743CC2" w:rsidTr="00CC4850">
        <w:tc>
          <w:tcPr>
            <w:tcW w:w="2556" w:type="dxa"/>
          </w:tcPr>
          <w:p w:rsidR="00743CC2" w:rsidRPr="00743CC2" w:rsidRDefault="00EF5F0D" w:rsidP="00743CC2">
            <w:pPr>
              <w:rPr>
                <w:rFonts w:asciiTheme="majorHAnsi" w:hAnsiTheme="majorHAnsi"/>
              </w:rPr>
            </w:pPr>
            <w:r>
              <w:rPr>
                <w:rFonts w:asciiTheme="majorHAnsi" w:hAnsiTheme="majorHAnsi"/>
              </w:rPr>
              <w:t>Pittsburgh PA Example</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10</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58</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32</w:t>
            </w:r>
            <w:r w:rsidR="00EF5F0D">
              <w:rPr>
                <w:rFonts w:asciiTheme="majorHAnsi" w:hAnsiTheme="majorHAnsi"/>
              </w:rPr>
              <w:t>%</w:t>
            </w:r>
          </w:p>
        </w:tc>
      </w:tr>
      <w:tr w:rsidR="00743CC2" w:rsidRPr="00743CC2" w:rsidTr="00CC4850">
        <w:tc>
          <w:tcPr>
            <w:tcW w:w="2556" w:type="dxa"/>
          </w:tcPr>
          <w:p w:rsidR="00743CC2" w:rsidRPr="00743CC2" w:rsidRDefault="00EF5F0D" w:rsidP="00743CC2">
            <w:pPr>
              <w:rPr>
                <w:rFonts w:asciiTheme="majorHAnsi" w:hAnsiTheme="majorHAnsi"/>
              </w:rPr>
            </w:pPr>
            <w:r>
              <w:rPr>
                <w:rFonts w:asciiTheme="majorHAnsi" w:hAnsiTheme="majorHAnsi"/>
              </w:rPr>
              <w:t>Austin TX Example</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33</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7</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60</w:t>
            </w:r>
            <w:r w:rsidR="00EF5F0D">
              <w:rPr>
                <w:rFonts w:asciiTheme="majorHAnsi" w:hAnsiTheme="majorHAnsi"/>
              </w:rPr>
              <w:t>%</w:t>
            </w:r>
          </w:p>
        </w:tc>
      </w:tr>
      <w:tr w:rsidR="00743CC2" w:rsidRPr="00743CC2" w:rsidTr="00CC4850">
        <w:tc>
          <w:tcPr>
            <w:tcW w:w="2556" w:type="dxa"/>
          </w:tcPr>
          <w:p w:rsidR="00743CC2" w:rsidRPr="00743CC2" w:rsidRDefault="00EF5F0D" w:rsidP="00743CC2">
            <w:pPr>
              <w:rPr>
                <w:rFonts w:asciiTheme="majorHAnsi" w:hAnsiTheme="majorHAnsi"/>
              </w:rPr>
            </w:pPr>
            <w:r>
              <w:rPr>
                <w:rFonts w:asciiTheme="majorHAnsi" w:hAnsiTheme="majorHAnsi"/>
              </w:rPr>
              <w:t>Westlake OH Example</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30</w:t>
            </w:r>
            <w:r w:rsidR="00EF5F0D">
              <w:rPr>
                <w:rFonts w:asciiTheme="majorHAnsi" w:hAnsiTheme="majorHAnsi"/>
              </w:rPr>
              <w:t>%</w:t>
            </w:r>
          </w:p>
        </w:tc>
        <w:tc>
          <w:tcPr>
            <w:tcW w:w="2214" w:type="dxa"/>
          </w:tcPr>
          <w:p w:rsidR="00743CC2" w:rsidRPr="00743CC2" w:rsidRDefault="00743CC2" w:rsidP="00743CC2">
            <w:pPr>
              <w:jc w:val="center"/>
              <w:rPr>
                <w:rFonts w:asciiTheme="majorHAnsi" w:hAnsiTheme="majorHAnsi"/>
              </w:rPr>
            </w:pPr>
            <w:r w:rsidRPr="00743CC2">
              <w:rPr>
                <w:rFonts w:asciiTheme="majorHAnsi" w:hAnsiTheme="majorHAnsi"/>
              </w:rPr>
              <w:t>19</w:t>
            </w:r>
            <w:r w:rsidR="00EF5F0D">
              <w:rPr>
                <w:rFonts w:asciiTheme="majorHAnsi" w:hAnsiTheme="majorHAnsi"/>
              </w:rPr>
              <w:t>%</w:t>
            </w:r>
          </w:p>
        </w:tc>
        <w:tc>
          <w:tcPr>
            <w:tcW w:w="2466" w:type="dxa"/>
          </w:tcPr>
          <w:p w:rsidR="00743CC2" w:rsidRPr="00743CC2" w:rsidRDefault="00743CC2" w:rsidP="00743CC2">
            <w:pPr>
              <w:jc w:val="center"/>
              <w:rPr>
                <w:rFonts w:asciiTheme="majorHAnsi" w:hAnsiTheme="majorHAnsi"/>
              </w:rPr>
            </w:pPr>
            <w:r w:rsidRPr="00743CC2">
              <w:rPr>
                <w:rFonts w:asciiTheme="majorHAnsi" w:hAnsiTheme="majorHAnsi"/>
              </w:rPr>
              <w:t>51</w:t>
            </w:r>
            <w:r w:rsidR="00EF5F0D">
              <w:rPr>
                <w:rFonts w:asciiTheme="majorHAnsi" w:hAnsiTheme="majorHAnsi"/>
              </w:rPr>
              <w:t>%</w:t>
            </w:r>
          </w:p>
        </w:tc>
      </w:tr>
      <w:tr w:rsidR="00EF5F0D" w:rsidRPr="00743CC2" w:rsidTr="00727065">
        <w:tc>
          <w:tcPr>
            <w:tcW w:w="9450" w:type="dxa"/>
            <w:gridSpan w:val="4"/>
            <w:shd w:val="clear" w:color="auto" w:fill="DDD9C3" w:themeFill="background2" w:themeFillShade="E6"/>
          </w:tcPr>
          <w:p w:rsidR="00EF5F0D" w:rsidRDefault="00EF5F0D" w:rsidP="00EF5F0D">
            <w:pPr>
              <w:rPr>
                <w:rFonts w:asciiTheme="majorHAnsi" w:hAnsiTheme="majorHAnsi"/>
              </w:rPr>
            </w:pPr>
          </w:p>
          <w:p w:rsidR="00727065" w:rsidRDefault="00727065" w:rsidP="00EF5F0D">
            <w:pPr>
              <w:rPr>
                <w:rFonts w:asciiTheme="majorHAnsi" w:hAnsiTheme="majorHAnsi"/>
              </w:rPr>
            </w:pPr>
            <w:r>
              <w:rPr>
                <w:rFonts w:asciiTheme="majorHAnsi" w:hAnsiTheme="majorHAnsi"/>
              </w:rPr>
              <w:t>Proposed:</w:t>
            </w:r>
          </w:p>
          <w:p w:rsidR="00727065" w:rsidRPr="00743CC2" w:rsidRDefault="00727065" w:rsidP="00EF5F0D">
            <w:pPr>
              <w:rPr>
                <w:rFonts w:asciiTheme="majorHAnsi" w:hAnsiTheme="majorHAnsi"/>
              </w:rPr>
            </w:pPr>
          </w:p>
        </w:tc>
      </w:tr>
      <w:tr w:rsidR="00743CC2" w:rsidRPr="00743CC2" w:rsidTr="00CC4850">
        <w:tc>
          <w:tcPr>
            <w:tcW w:w="2556" w:type="dxa"/>
          </w:tcPr>
          <w:p w:rsidR="00743CC2" w:rsidRPr="00743CC2" w:rsidRDefault="00727065" w:rsidP="00743CC2">
            <w:pPr>
              <w:rPr>
                <w:rFonts w:asciiTheme="majorHAnsi" w:hAnsiTheme="majorHAnsi"/>
              </w:rPr>
            </w:pPr>
            <w:r>
              <w:rPr>
                <w:rFonts w:asciiTheme="majorHAnsi" w:hAnsiTheme="majorHAnsi"/>
              </w:rPr>
              <w:t>Obey Creek</w:t>
            </w:r>
          </w:p>
        </w:tc>
        <w:tc>
          <w:tcPr>
            <w:tcW w:w="2214" w:type="dxa"/>
          </w:tcPr>
          <w:p w:rsidR="00743CC2" w:rsidRPr="00743CC2" w:rsidRDefault="000B651E" w:rsidP="00743CC2">
            <w:pPr>
              <w:jc w:val="center"/>
              <w:rPr>
                <w:rFonts w:asciiTheme="majorHAnsi" w:hAnsiTheme="majorHAnsi"/>
              </w:rPr>
            </w:pPr>
            <w:r>
              <w:rPr>
                <w:rFonts w:asciiTheme="majorHAnsi" w:hAnsiTheme="majorHAnsi"/>
              </w:rPr>
              <w:t>50%</w:t>
            </w:r>
          </w:p>
        </w:tc>
        <w:tc>
          <w:tcPr>
            <w:tcW w:w="2214" w:type="dxa"/>
          </w:tcPr>
          <w:p w:rsidR="00743CC2" w:rsidRPr="00743CC2" w:rsidRDefault="000B651E" w:rsidP="00743CC2">
            <w:pPr>
              <w:jc w:val="center"/>
              <w:rPr>
                <w:rFonts w:asciiTheme="majorHAnsi" w:hAnsiTheme="majorHAnsi"/>
              </w:rPr>
            </w:pPr>
            <w:r>
              <w:rPr>
                <w:rFonts w:asciiTheme="majorHAnsi" w:hAnsiTheme="majorHAnsi"/>
              </w:rPr>
              <w:t>17%</w:t>
            </w:r>
          </w:p>
        </w:tc>
        <w:tc>
          <w:tcPr>
            <w:tcW w:w="2466" w:type="dxa"/>
          </w:tcPr>
          <w:p w:rsidR="00743CC2" w:rsidRPr="00743CC2" w:rsidRDefault="000B651E" w:rsidP="00743CC2">
            <w:pPr>
              <w:jc w:val="center"/>
              <w:rPr>
                <w:rFonts w:asciiTheme="majorHAnsi" w:hAnsiTheme="majorHAnsi"/>
              </w:rPr>
            </w:pPr>
            <w:r>
              <w:rPr>
                <w:rFonts w:asciiTheme="majorHAnsi" w:hAnsiTheme="majorHAnsi"/>
              </w:rPr>
              <w:t>33%</w:t>
            </w:r>
          </w:p>
        </w:tc>
      </w:tr>
    </w:tbl>
    <w:p w:rsidR="00743CC2" w:rsidRPr="00743CC2" w:rsidRDefault="00743CC2" w:rsidP="00743CC2">
      <w:pPr>
        <w:rPr>
          <w:rFonts w:asciiTheme="majorHAnsi" w:hAnsiTheme="majorHAnsi"/>
        </w:rPr>
      </w:pPr>
    </w:p>
    <w:p w:rsidR="00743CC2" w:rsidRDefault="00743CC2" w:rsidP="00A626FB">
      <w:pPr>
        <w:rPr>
          <w:rFonts w:asciiTheme="majorHAnsi" w:hAnsiTheme="majorHAnsi"/>
        </w:rPr>
      </w:pPr>
    </w:p>
    <w:p w:rsidR="00A626FB" w:rsidRDefault="000B651E" w:rsidP="00A626FB">
      <w:pPr>
        <w:rPr>
          <w:rFonts w:asciiTheme="majorHAnsi" w:hAnsiTheme="majorHAnsi"/>
        </w:rPr>
      </w:pPr>
      <w:r>
        <w:rPr>
          <w:rFonts w:asciiTheme="majorHAnsi" w:hAnsiTheme="majorHAnsi"/>
        </w:rPr>
        <w:t>For further information and reference to the sources for</w:t>
      </w:r>
      <w:r w:rsidR="00D16077">
        <w:rPr>
          <w:rFonts w:asciiTheme="majorHAnsi" w:hAnsiTheme="majorHAnsi"/>
        </w:rPr>
        <w:t xml:space="preserve"> material in this memorandum</w:t>
      </w:r>
      <w:r>
        <w:rPr>
          <w:rFonts w:asciiTheme="majorHAnsi" w:hAnsiTheme="majorHAnsi"/>
        </w:rPr>
        <w:t xml:space="preserve">:  Here is a set of links to relevant documents: </w:t>
      </w:r>
    </w:p>
    <w:p w:rsidR="000B651E" w:rsidRDefault="000B651E" w:rsidP="00A626FB">
      <w:pPr>
        <w:rPr>
          <w:rFonts w:asciiTheme="majorHAnsi" w:hAnsiTheme="majorHAnsi"/>
        </w:rPr>
      </w:pPr>
    </w:p>
    <w:p w:rsidR="00D16077" w:rsidRDefault="000B651E" w:rsidP="00D16077">
      <w:pPr>
        <w:pStyle w:val="ListParagraph"/>
        <w:numPr>
          <w:ilvl w:val="0"/>
          <w:numId w:val="15"/>
        </w:numPr>
        <w:rPr>
          <w:rFonts w:asciiTheme="majorHAnsi" w:hAnsiTheme="majorHAnsi"/>
        </w:rPr>
      </w:pPr>
      <w:r>
        <w:rPr>
          <w:rFonts w:asciiTheme="majorHAnsi" w:hAnsiTheme="majorHAnsi"/>
        </w:rPr>
        <w:t xml:space="preserve">APA Memorandum: </w:t>
      </w:r>
      <w:hyperlink r:id="rId8" w:history="1">
        <w:r w:rsidR="00D16077" w:rsidRPr="00C50515">
          <w:rPr>
            <w:rStyle w:val="Hyperlink"/>
            <w:rFonts w:asciiTheme="majorHAnsi" w:hAnsiTheme="majorHAnsi"/>
          </w:rPr>
          <w:t>http://www.rockvillemd.gov/DocumentCenter/View/6791</w:t>
        </w:r>
      </w:hyperlink>
    </w:p>
    <w:p w:rsidR="000B651E" w:rsidRPr="00D16077" w:rsidRDefault="000B651E" w:rsidP="00D16077">
      <w:pPr>
        <w:pStyle w:val="ListParagraph"/>
        <w:rPr>
          <w:rFonts w:asciiTheme="majorHAnsi" w:hAnsiTheme="majorHAnsi"/>
        </w:rPr>
      </w:pPr>
    </w:p>
    <w:p w:rsidR="000B651E" w:rsidRDefault="000B651E" w:rsidP="000B651E">
      <w:pPr>
        <w:pStyle w:val="ListParagraph"/>
        <w:numPr>
          <w:ilvl w:val="0"/>
          <w:numId w:val="15"/>
        </w:numPr>
        <w:rPr>
          <w:rFonts w:asciiTheme="majorHAnsi" w:hAnsiTheme="majorHAnsi"/>
        </w:rPr>
      </w:pPr>
      <w:r>
        <w:rPr>
          <w:rFonts w:asciiTheme="majorHAnsi" w:hAnsiTheme="majorHAnsi"/>
        </w:rPr>
        <w:t xml:space="preserve">Virginia “Toolkit” description of Best Practices: </w:t>
      </w:r>
      <w:hyperlink r:id="rId9" w:history="1">
        <w:r w:rsidRPr="00C50515">
          <w:rPr>
            <w:rStyle w:val="Hyperlink"/>
            <w:rFonts w:asciiTheme="majorHAnsi" w:hAnsiTheme="majorHAnsi"/>
          </w:rPr>
          <w:t>http://www.tjpdc.org/livablecommunities/Code%20and%20Ord%20Toolkit.pdf</w:t>
        </w:r>
      </w:hyperlink>
    </w:p>
    <w:p w:rsidR="00D16077" w:rsidRDefault="00D16077" w:rsidP="00D16077">
      <w:pPr>
        <w:pStyle w:val="ListParagraph"/>
        <w:rPr>
          <w:rFonts w:asciiTheme="majorHAnsi" w:hAnsiTheme="majorHAnsi"/>
        </w:rPr>
      </w:pPr>
    </w:p>
    <w:p w:rsidR="000B651E" w:rsidRDefault="00D16077" w:rsidP="00D16077">
      <w:pPr>
        <w:pStyle w:val="ListParagraph"/>
        <w:numPr>
          <w:ilvl w:val="0"/>
          <w:numId w:val="15"/>
        </w:numPr>
        <w:rPr>
          <w:rFonts w:asciiTheme="majorHAnsi" w:hAnsiTheme="majorHAnsi"/>
        </w:rPr>
      </w:pPr>
      <w:r>
        <w:rPr>
          <w:rFonts w:asciiTheme="majorHAnsi" w:hAnsiTheme="majorHAnsi"/>
        </w:rPr>
        <w:t xml:space="preserve">Amherst MA report on Zoning Codes:  </w:t>
      </w:r>
      <w:hyperlink r:id="rId10" w:history="1">
        <w:r w:rsidRPr="00C50515">
          <w:rPr>
            <w:rStyle w:val="Hyperlink"/>
            <w:rFonts w:asciiTheme="majorHAnsi" w:hAnsiTheme="majorHAnsi"/>
          </w:rPr>
          <w:t>http://www.amherst.ny.us/pdf/planning/compplan/zcrc/amendments/report.pdf</w:t>
        </w:r>
      </w:hyperlink>
    </w:p>
    <w:p w:rsidR="00D16077" w:rsidRDefault="00D16077" w:rsidP="00D16077">
      <w:pPr>
        <w:pStyle w:val="ListParagraph"/>
        <w:rPr>
          <w:rFonts w:asciiTheme="majorHAnsi" w:hAnsiTheme="majorHAnsi"/>
        </w:rPr>
      </w:pPr>
    </w:p>
    <w:p w:rsidR="00D16077" w:rsidRDefault="00D16077" w:rsidP="00D16077">
      <w:pPr>
        <w:pStyle w:val="ListParagraph"/>
        <w:numPr>
          <w:ilvl w:val="0"/>
          <w:numId w:val="15"/>
        </w:numPr>
        <w:rPr>
          <w:rFonts w:asciiTheme="majorHAnsi" w:hAnsiTheme="majorHAnsi"/>
        </w:rPr>
      </w:pPr>
      <w:r>
        <w:rPr>
          <w:rFonts w:asciiTheme="majorHAnsi" w:hAnsiTheme="majorHAnsi"/>
        </w:rPr>
        <w:t xml:space="preserve">Urban Land Institute Report for Loudoun County:  </w:t>
      </w:r>
      <w:hyperlink r:id="rId11" w:history="1">
        <w:r w:rsidRPr="00C50515">
          <w:rPr>
            <w:rStyle w:val="Hyperlink"/>
            <w:rFonts w:asciiTheme="majorHAnsi" w:hAnsiTheme="majorHAnsi"/>
          </w:rPr>
          <w:t>http://www.loudoun.gov/DocumentCenter/View/107409</w:t>
        </w:r>
      </w:hyperlink>
    </w:p>
    <w:p w:rsidR="00D16077" w:rsidRDefault="00D16077" w:rsidP="00D16077">
      <w:pPr>
        <w:pStyle w:val="ListParagraph"/>
        <w:rPr>
          <w:rFonts w:asciiTheme="majorHAnsi" w:hAnsiTheme="majorHAnsi"/>
        </w:rPr>
      </w:pPr>
    </w:p>
    <w:p w:rsidR="000B651E" w:rsidRPr="00615A4C" w:rsidRDefault="00D16077" w:rsidP="00615A4C">
      <w:pPr>
        <w:pStyle w:val="ListParagraph"/>
        <w:numPr>
          <w:ilvl w:val="0"/>
          <w:numId w:val="15"/>
        </w:numPr>
        <w:rPr>
          <w:rFonts w:asciiTheme="majorHAnsi" w:hAnsiTheme="majorHAnsi"/>
        </w:rPr>
      </w:pPr>
      <w:r>
        <w:rPr>
          <w:rFonts w:asciiTheme="majorHAnsi" w:hAnsiTheme="majorHAnsi"/>
        </w:rPr>
        <w:t xml:space="preserve">Urban Land Institute:  10 Principles for Developing Successful Town Centers: </w:t>
      </w:r>
      <w:hyperlink r:id="rId12" w:history="1">
        <w:r w:rsidR="00615A4C" w:rsidRPr="00C50515">
          <w:rPr>
            <w:rStyle w:val="Hyperlink"/>
            <w:rFonts w:asciiTheme="majorHAnsi" w:hAnsiTheme="majorHAnsi"/>
          </w:rPr>
          <w:t>http://www.greatstreets-stl.org/component/option,com_docman/task,cat_view/gid,107/Itemid,44/?mosmsg=You+are+trying+to+access+from+a+non-authorized+domain.+%28www.google.com%29</w:t>
        </w:r>
      </w:hyperlink>
      <w:r w:rsidR="00615A4C">
        <w:rPr>
          <w:rFonts w:asciiTheme="majorHAnsi" w:hAnsiTheme="majorHAnsi"/>
        </w:rPr>
        <w:t xml:space="preserve">  (Scroll down the page to download document)</w:t>
      </w:r>
    </w:p>
    <w:p w:rsidR="00743CC2" w:rsidRPr="00A626FB" w:rsidRDefault="00743CC2" w:rsidP="00A626FB">
      <w:pPr>
        <w:jc w:val="center"/>
        <w:rPr>
          <w:rFonts w:asciiTheme="majorHAnsi" w:hAnsiTheme="majorHAnsi"/>
          <w:sz w:val="22"/>
          <w:szCs w:val="22"/>
        </w:rPr>
      </w:pPr>
    </w:p>
    <w:sectPr w:rsidR="00743CC2" w:rsidRPr="00A626FB" w:rsidSect="00A626FB">
      <w:footerReference w:type="default" r:id="rId13"/>
      <w:pgSz w:w="12240" w:h="15840"/>
      <w:pgMar w:top="57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B4" w:rsidRDefault="002936B4" w:rsidP="00322699">
      <w:r>
        <w:separator/>
      </w:r>
    </w:p>
  </w:endnote>
  <w:endnote w:type="continuationSeparator" w:id="0">
    <w:p w:rsidR="002936B4" w:rsidRDefault="002936B4" w:rsidP="0032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382272"/>
      <w:docPartObj>
        <w:docPartGallery w:val="Page Numbers (Bottom of Page)"/>
        <w:docPartUnique/>
      </w:docPartObj>
    </w:sdtPr>
    <w:sdtEndPr>
      <w:rPr>
        <w:noProof/>
      </w:rPr>
    </w:sdtEndPr>
    <w:sdtContent>
      <w:p w:rsidR="00322699" w:rsidRDefault="00322699">
        <w:pPr>
          <w:pStyle w:val="Footer"/>
          <w:jc w:val="center"/>
        </w:pPr>
        <w:r>
          <w:fldChar w:fldCharType="begin"/>
        </w:r>
        <w:r>
          <w:instrText xml:space="preserve"> PAGE   \* MERGEFORMAT </w:instrText>
        </w:r>
        <w:r>
          <w:fldChar w:fldCharType="separate"/>
        </w:r>
        <w:r w:rsidR="00066009">
          <w:rPr>
            <w:noProof/>
          </w:rPr>
          <w:t>1</w:t>
        </w:r>
        <w:r>
          <w:rPr>
            <w:noProof/>
          </w:rPr>
          <w:fldChar w:fldCharType="end"/>
        </w:r>
      </w:p>
    </w:sdtContent>
  </w:sdt>
  <w:p w:rsidR="00322699" w:rsidRDefault="00322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B4" w:rsidRDefault="002936B4" w:rsidP="00322699">
      <w:r>
        <w:separator/>
      </w:r>
    </w:p>
  </w:footnote>
  <w:footnote w:type="continuationSeparator" w:id="0">
    <w:p w:rsidR="002936B4" w:rsidRDefault="002936B4" w:rsidP="0032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04D8"/>
    <w:multiLevelType w:val="hybridMultilevel"/>
    <w:tmpl w:val="FDA0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12077"/>
    <w:multiLevelType w:val="hybridMultilevel"/>
    <w:tmpl w:val="662889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FE4DFA"/>
    <w:multiLevelType w:val="hybridMultilevel"/>
    <w:tmpl w:val="4B76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E433B"/>
    <w:multiLevelType w:val="hybridMultilevel"/>
    <w:tmpl w:val="BCE42FA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6F491D"/>
    <w:multiLevelType w:val="hybridMultilevel"/>
    <w:tmpl w:val="14E4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F1582"/>
    <w:multiLevelType w:val="hybridMultilevel"/>
    <w:tmpl w:val="946A442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8448CB"/>
    <w:multiLevelType w:val="hybridMultilevel"/>
    <w:tmpl w:val="B8262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E192B"/>
    <w:multiLevelType w:val="hybridMultilevel"/>
    <w:tmpl w:val="99060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54C02"/>
    <w:multiLevelType w:val="hybridMultilevel"/>
    <w:tmpl w:val="356A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605E35"/>
    <w:multiLevelType w:val="hybridMultilevel"/>
    <w:tmpl w:val="C7FC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920C2A"/>
    <w:multiLevelType w:val="hybridMultilevel"/>
    <w:tmpl w:val="6F94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BA5947"/>
    <w:multiLevelType w:val="hybridMultilevel"/>
    <w:tmpl w:val="7F7C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15191D"/>
    <w:multiLevelType w:val="hybridMultilevel"/>
    <w:tmpl w:val="B03A463C"/>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3020E"/>
    <w:multiLevelType w:val="hybridMultilevel"/>
    <w:tmpl w:val="1A44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F31ACD"/>
    <w:multiLevelType w:val="hybridMultilevel"/>
    <w:tmpl w:val="BFB2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
  </w:num>
  <w:num w:numId="4">
    <w:abstractNumId w:val="12"/>
  </w:num>
  <w:num w:numId="5">
    <w:abstractNumId w:val="13"/>
  </w:num>
  <w:num w:numId="6">
    <w:abstractNumId w:val="4"/>
  </w:num>
  <w:num w:numId="7">
    <w:abstractNumId w:val="8"/>
  </w:num>
  <w:num w:numId="8">
    <w:abstractNumId w:val="10"/>
  </w:num>
  <w:num w:numId="9">
    <w:abstractNumId w:val="3"/>
  </w:num>
  <w:num w:numId="10">
    <w:abstractNumId w:val="5"/>
  </w:num>
  <w:num w:numId="11">
    <w:abstractNumId w:val="1"/>
  </w:num>
  <w:num w:numId="12">
    <w:abstractNumId w:val="6"/>
  </w:num>
  <w:num w:numId="13">
    <w:abstractNumId w:val="9"/>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2C8"/>
    <w:rsid w:val="00066009"/>
    <w:rsid w:val="000A76A7"/>
    <w:rsid w:val="000B651E"/>
    <w:rsid w:val="00240898"/>
    <w:rsid w:val="002929A3"/>
    <w:rsid w:val="002936B4"/>
    <w:rsid w:val="00322699"/>
    <w:rsid w:val="003927A8"/>
    <w:rsid w:val="003A5751"/>
    <w:rsid w:val="003B5909"/>
    <w:rsid w:val="00427650"/>
    <w:rsid w:val="00495858"/>
    <w:rsid w:val="005D20F5"/>
    <w:rsid w:val="00615A4C"/>
    <w:rsid w:val="00701BF3"/>
    <w:rsid w:val="00727065"/>
    <w:rsid w:val="00743CC2"/>
    <w:rsid w:val="00867E3A"/>
    <w:rsid w:val="0097544B"/>
    <w:rsid w:val="00A45E03"/>
    <w:rsid w:val="00A626FB"/>
    <w:rsid w:val="00AE0012"/>
    <w:rsid w:val="00B90197"/>
    <w:rsid w:val="00BA652B"/>
    <w:rsid w:val="00C2320A"/>
    <w:rsid w:val="00C85B62"/>
    <w:rsid w:val="00CA52FA"/>
    <w:rsid w:val="00D103FA"/>
    <w:rsid w:val="00D16077"/>
    <w:rsid w:val="00D9556A"/>
    <w:rsid w:val="00E04469"/>
    <w:rsid w:val="00E144EA"/>
    <w:rsid w:val="00E14FDC"/>
    <w:rsid w:val="00E762C8"/>
    <w:rsid w:val="00E84D3A"/>
    <w:rsid w:val="00EF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012"/>
    <w:pPr>
      <w:ind w:left="720"/>
      <w:contextualSpacing/>
    </w:pPr>
  </w:style>
  <w:style w:type="paragraph" w:styleId="Header">
    <w:name w:val="header"/>
    <w:basedOn w:val="Normal"/>
    <w:link w:val="HeaderChar"/>
    <w:uiPriority w:val="99"/>
    <w:unhideWhenUsed/>
    <w:rsid w:val="00322699"/>
    <w:pPr>
      <w:tabs>
        <w:tab w:val="center" w:pos="4680"/>
        <w:tab w:val="right" w:pos="9360"/>
      </w:tabs>
    </w:pPr>
  </w:style>
  <w:style w:type="character" w:customStyle="1" w:styleId="HeaderChar">
    <w:name w:val="Header Char"/>
    <w:basedOn w:val="DefaultParagraphFont"/>
    <w:link w:val="Header"/>
    <w:uiPriority w:val="99"/>
    <w:rsid w:val="00322699"/>
  </w:style>
  <w:style w:type="paragraph" w:styleId="Footer">
    <w:name w:val="footer"/>
    <w:basedOn w:val="Normal"/>
    <w:link w:val="FooterChar"/>
    <w:uiPriority w:val="99"/>
    <w:unhideWhenUsed/>
    <w:rsid w:val="00322699"/>
    <w:pPr>
      <w:tabs>
        <w:tab w:val="center" w:pos="4680"/>
        <w:tab w:val="right" w:pos="9360"/>
      </w:tabs>
    </w:pPr>
  </w:style>
  <w:style w:type="character" w:customStyle="1" w:styleId="FooterChar">
    <w:name w:val="Footer Char"/>
    <w:basedOn w:val="DefaultParagraphFont"/>
    <w:link w:val="Footer"/>
    <w:uiPriority w:val="99"/>
    <w:rsid w:val="00322699"/>
  </w:style>
  <w:style w:type="character" w:styleId="Hyperlink">
    <w:name w:val="Hyperlink"/>
    <w:basedOn w:val="DefaultParagraphFont"/>
    <w:uiPriority w:val="99"/>
    <w:unhideWhenUsed/>
    <w:rsid w:val="00A626FB"/>
    <w:rPr>
      <w:color w:val="0000FF" w:themeColor="hyperlink"/>
      <w:u w:val="single"/>
    </w:rPr>
  </w:style>
  <w:style w:type="table" w:styleId="TableGrid">
    <w:name w:val="Table Grid"/>
    <w:basedOn w:val="TableNormal"/>
    <w:uiPriority w:val="59"/>
    <w:rsid w:val="0074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012"/>
    <w:pPr>
      <w:ind w:left="720"/>
      <w:contextualSpacing/>
    </w:pPr>
  </w:style>
  <w:style w:type="paragraph" w:styleId="Header">
    <w:name w:val="header"/>
    <w:basedOn w:val="Normal"/>
    <w:link w:val="HeaderChar"/>
    <w:uiPriority w:val="99"/>
    <w:unhideWhenUsed/>
    <w:rsid w:val="00322699"/>
    <w:pPr>
      <w:tabs>
        <w:tab w:val="center" w:pos="4680"/>
        <w:tab w:val="right" w:pos="9360"/>
      </w:tabs>
    </w:pPr>
  </w:style>
  <w:style w:type="character" w:customStyle="1" w:styleId="HeaderChar">
    <w:name w:val="Header Char"/>
    <w:basedOn w:val="DefaultParagraphFont"/>
    <w:link w:val="Header"/>
    <w:uiPriority w:val="99"/>
    <w:rsid w:val="00322699"/>
  </w:style>
  <w:style w:type="paragraph" w:styleId="Footer">
    <w:name w:val="footer"/>
    <w:basedOn w:val="Normal"/>
    <w:link w:val="FooterChar"/>
    <w:uiPriority w:val="99"/>
    <w:unhideWhenUsed/>
    <w:rsid w:val="00322699"/>
    <w:pPr>
      <w:tabs>
        <w:tab w:val="center" w:pos="4680"/>
        <w:tab w:val="right" w:pos="9360"/>
      </w:tabs>
    </w:pPr>
  </w:style>
  <w:style w:type="character" w:customStyle="1" w:styleId="FooterChar">
    <w:name w:val="Footer Char"/>
    <w:basedOn w:val="DefaultParagraphFont"/>
    <w:link w:val="Footer"/>
    <w:uiPriority w:val="99"/>
    <w:rsid w:val="00322699"/>
  </w:style>
  <w:style w:type="character" w:styleId="Hyperlink">
    <w:name w:val="Hyperlink"/>
    <w:basedOn w:val="DefaultParagraphFont"/>
    <w:uiPriority w:val="99"/>
    <w:unhideWhenUsed/>
    <w:rsid w:val="00A626FB"/>
    <w:rPr>
      <w:color w:val="0000FF" w:themeColor="hyperlink"/>
      <w:u w:val="single"/>
    </w:rPr>
  </w:style>
  <w:style w:type="table" w:styleId="TableGrid">
    <w:name w:val="Table Grid"/>
    <w:basedOn w:val="TableNormal"/>
    <w:uiPriority w:val="59"/>
    <w:rsid w:val="0074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kvillemd.gov/DocumentCenter/View/679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eatstreets-stl.org/component/option,com_docman/task,cat_view/gid,107/Itemid,44/?mosmsg=You+are+trying+to+access+from+a+non-authorized+domain.+%28www.google.com%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oudoun.gov/DocumentCenter/View/1074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mherst.ny.us/pdf/planning/compplan/zcrc/amendments/report.pdf" TargetMode="External"/><Relationship Id="rId4" Type="http://schemas.openxmlformats.org/officeDocument/2006/relationships/settings" Target="settings.xml"/><Relationship Id="rId9" Type="http://schemas.openxmlformats.org/officeDocument/2006/relationships/hyperlink" Target="http://www.tjpdc.org/livablecommunities/Code%20and%20Ord%20Toolki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matthew</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Waldon</dc:creator>
  <cp:lastModifiedBy>Megan Wooley</cp:lastModifiedBy>
  <cp:revision>2</cp:revision>
  <dcterms:created xsi:type="dcterms:W3CDTF">2014-12-09T02:08:00Z</dcterms:created>
  <dcterms:modified xsi:type="dcterms:W3CDTF">2014-12-09T02:08:00Z</dcterms:modified>
</cp:coreProperties>
</file>